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891059" w:rsidRDefault="00891059" w:rsidP="00891059">
      <w:pPr>
        <w:pStyle w:val="pj"/>
      </w:pPr>
      <w:r>
        <w:t> 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D07647">
        <w:rPr>
          <w:b/>
          <w:color w:val="auto"/>
        </w:rPr>
        <w:t>30</w:t>
      </w:r>
      <w:r w:rsidR="00464343">
        <w:rPr>
          <w:b/>
          <w:color w:val="auto"/>
        </w:rPr>
        <w:t xml:space="preserve"> </w:t>
      </w:r>
      <w:r w:rsidR="005370E5">
        <w:rPr>
          <w:b/>
          <w:color w:val="auto"/>
        </w:rPr>
        <w:t xml:space="preserve"> </w:t>
      </w:r>
      <w:r w:rsidRPr="00C662A9">
        <w:rPr>
          <w:b/>
          <w:color w:val="auto"/>
        </w:rPr>
        <w:t>от</w:t>
      </w:r>
      <w:r w:rsidR="00705E32">
        <w:rPr>
          <w:b/>
          <w:color w:val="auto"/>
        </w:rPr>
        <w:t xml:space="preserve"> 19</w:t>
      </w:r>
      <w:r w:rsidR="00EC4562">
        <w:rPr>
          <w:b/>
          <w:color w:val="auto"/>
        </w:rPr>
        <w:t>.09</w:t>
      </w:r>
      <w:r w:rsidR="006F5846" w:rsidRPr="00C662A9">
        <w:rPr>
          <w:b/>
          <w:color w:val="auto"/>
        </w:rPr>
        <w:t>.202</w:t>
      </w:r>
      <w:r w:rsidR="00262932" w:rsidRPr="00C662A9">
        <w:rPr>
          <w:b/>
          <w:color w:val="auto"/>
        </w:rPr>
        <w:t>3</w:t>
      </w:r>
      <w:r>
        <w:rPr>
          <w:b/>
        </w:rPr>
        <w:t xml:space="preserve">  года</w:t>
      </w:r>
      <w:r>
        <w:rPr>
          <w:rStyle w:val="s1"/>
        </w:rPr>
        <w:t xml:space="preserve"> 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Default="00891059" w:rsidP="00891059">
      <w:pPr>
        <w:pStyle w:val="pj"/>
      </w:pPr>
      <w:r w:rsidRPr="00E42E2C">
        <w:rPr>
          <w:b/>
        </w:rPr>
        <w:t>Наименование и адрес заказчика или организатора закупа:</w:t>
      </w:r>
      <w:r w:rsidR="00CD4D50">
        <w:rPr>
          <w:b/>
        </w:rPr>
        <w:t xml:space="preserve"> </w:t>
      </w:r>
      <w:r w:rsidRPr="00EC64E6">
        <w:rPr>
          <w:iCs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 w:rsidRPr="00EC64E6">
        <w:rPr>
          <w:color w:val="000000" w:themeColor="text1"/>
        </w:rPr>
        <w:t>г</w:t>
      </w:r>
      <w:proofErr w:type="gramStart"/>
      <w:r w:rsidRPr="00EC64E6">
        <w:rPr>
          <w:color w:val="000000" w:themeColor="text1"/>
        </w:rPr>
        <w:t>.Т</w:t>
      </w:r>
      <w:proofErr w:type="gramEnd"/>
      <w:r w:rsidRPr="00EC64E6">
        <w:rPr>
          <w:color w:val="000000" w:themeColor="text1"/>
        </w:rPr>
        <w:t>алдыкорган</w:t>
      </w:r>
      <w:proofErr w:type="spellEnd"/>
      <w:r w:rsidRPr="00EC64E6">
        <w:rPr>
          <w:color w:val="000000" w:themeColor="text1"/>
        </w:rPr>
        <w:t xml:space="preserve">, </w:t>
      </w:r>
      <w:proofErr w:type="spellStart"/>
      <w:r w:rsidRPr="00EC64E6">
        <w:rPr>
          <w:color w:val="000000" w:themeColor="text1"/>
        </w:rPr>
        <w:t>ул.Ескельды</w:t>
      </w:r>
      <w:proofErr w:type="spellEnd"/>
      <w:r w:rsidRPr="00EC64E6">
        <w:rPr>
          <w:color w:val="000000" w:themeColor="text1"/>
        </w:rPr>
        <w:t xml:space="preserve"> би,224.</w:t>
      </w:r>
    </w:p>
    <w:p w:rsidR="00891059" w:rsidRDefault="00891059" w:rsidP="00891059">
      <w:pPr>
        <w:pStyle w:val="pj"/>
      </w:pPr>
    </w:p>
    <w:p w:rsidR="00891059" w:rsidRDefault="00891059" w:rsidP="00891059">
      <w:pPr>
        <w:pStyle w:val="pj"/>
      </w:pPr>
      <w:r>
        <w:t xml:space="preserve">Международные непатентованные наименования закупаемых лекарственных средств (торговое название – </w:t>
      </w:r>
      <w:r w:rsidR="009E05F7">
        <w:t>при</w:t>
      </w:r>
      <w:r>
        <w:t xml:space="preserve">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Pr="009B5F01" w:rsidRDefault="00891059" w:rsidP="00891059">
      <w:pPr>
        <w:pStyle w:val="pj"/>
        <w:rPr>
          <w:color w:val="auto"/>
        </w:rPr>
      </w:pPr>
      <w:r>
        <w:t> </w:t>
      </w:r>
    </w:p>
    <w:tbl>
      <w:tblPr>
        <w:tblStyle w:val="a5"/>
        <w:tblW w:w="14992" w:type="dxa"/>
        <w:tblLayout w:type="fixed"/>
        <w:tblLook w:val="04A0"/>
      </w:tblPr>
      <w:tblGrid>
        <w:gridCol w:w="457"/>
        <w:gridCol w:w="3365"/>
        <w:gridCol w:w="6067"/>
        <w:gridCol w:w="1276"/>
        <w:gridCol w:w="992"/>
        <w:gridCol w:w="1275"/>
        <w:gridCol w:w="1560"/>
      </w:tblGrid>
      <w:tr w:rsidR="009B5F01" w:rsidRPr="009B5F01" w:rsidTr="000F24C3">
        <w:tc>
          <w:tcPr>
            <w:tcW w:w="457" w:type="dxa"/>
            <w:vAlign w:val="center"/>
          </w:tcPr>
          <w:p w:rsidR="00891059" w:rsidRPr="009B5F01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9B5F01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9B5F01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76" w:type="dxa"/>
          </w:tcPr>
          <w:p w:rsidR="00891059" w:rsidRPr="009B5F01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891059" w:rsidRPr="009B5F01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275" w:type="dxa"/>
          </w:tcPr>
          <w:p w:rsidR="00891059" w:rsidRPr="009B5F01" w:rsidRDefault="00151FBF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91059"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60" w:type="dxa"/>
          </w:tcPr>
          <w:p w:rsidR="00891059" w:rsidRPr="009B5F01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сумма, в тенге</w:t>
            </w:r>
          </w:p>
        </w:tc>
      </w:tr>
      <w:tr w:rsidR="00726485" w:rsidRPr="004B160B" w:rsidTr="00D07647">
        <w:trPr>
          <w:trHeight w:val="216"/>
        </w:trPr>
        <w:tc>
          <w:tcPr>
            <w:tcW w:w="457" w:type="dxa"/>
          </w:tcPr>
          <w:p w:rsidR="00726485" w:rsidRPr="004B160B" w:rsidRDefault="00705E32" w:rsidP="00151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5" w:type="dxa"/>
            <w:shd w:val="clear" w:color="auto" w:fill="auto"/>
          </w:tcPr>
          <w:p w:rsidR="00726485" w:rsidRPr="004B160B" w:rsidRDefault="00726485" w:rsidP="00D07647">
            <w:pPr>
              <w:rPr>
                <w:rFonts w:ascii="Times New Roman" w:hAnsi="Times New Roman" w:cs="Times New Roman"/>
                <w:color w:val="000000"/>
              </w:rPr>
            </w:pPr>
            <w:r w:rsidRPr="004B160B">
              <w:rPr>
                <w:rFonts w:ascii="Times New Roman" w:hAnsi="Times New Roman" w:cs="Times New Roman"/>
                <w:color w:val="000000"/>
              </w:rPr>
              <w:t>Натронная известь</w:t>
            </w:r>
            <w:r w:rsidR="00687BBE" w:rsidRPr="004B160B">
              <w:rPr>
                <w:rFonts w:ascii="Times New Roman" w:hAnsi="Times New Roman" w:cs="Times New Roman"/>
                <w:color w:val="000000"/>
              </w:rPr>
              <w:t>, 5 л</w:t>
            </w:r>
          </w:p>
          <w:p w:rsidR="00726485" w:rsidRPr="004B160B" w:rsidRDefault="00726485" w:rsidP="00D076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67" w:type="dxa"/>
            <w:shd w:val="clear" w:color="auto" w:fill="auto"/>
          </w:tcPr>
          <w:p w:rsidR="00726485" w:rsidRPr="004B160B" w:rsidRDefault="00687BBE" w:rsidP="004B160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B160B">
              <w:rPr>
                <w:rFonts w:ascii="Times New Roman" w:hAnsi="Times New Roman" w:cs="Times New Roman"/>
                <w:color w:val="000000"/>
              </w:rPr>
              <w:t xml:space="preserve">Абсорбент углекислого газа, содержащий </w:t>
            </w:r>
            <w:proofErr w:type="spellStart"/>
            <w:r w:rsidRPr="004B160B">
              <w:rPr>
                <w:rFonts w:ascii="Times New Roman" w:hAnsi="Times New Roman" w:cs="Times New Roman"/>
                <w:color w:val="000000"/>
              </w:rPr>
              <w:t>гидроксид</w:t>
            </w:r>
            <w:proofErr w:type="spellEnd"/>
            <w:r w:rsidRPr="004B160B">
              <w:rPr>
                <w:rFonts w:ascii="Times New Roman" w:hAnsi="Times New Roman" w:cs="Times New Roman"/>
                <w:color w:val="000000"/>
              </w:rPr>
              <w:t xml:space="preserve"> щелочного металла</w:t>
            </w:r>
            <w:proofErr w:type="gramStart"/>
            <w:r w:rsidRPr="004B160B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4B160B">
              <w:rPr>
                <w:rFonts w:ascii="Times New Roman" w:hAnsi="Times New Roman" w:cs="Times New Roman"/>
                <w:color w:val="000000"/>
              </w:rPr>
              <w:t xml:space="preserve">  для поглощения углекислого газа в закрытом реверсивном контуре дыхательном . Абсорбент углекислого газа натронная известь, частицы сферической формы 2-4 мм для оптимального распределения в абсорбере и увеличения площади поглощения, производительность более 130 л/кг, содержание пыли 0,2%, твердость 97%, сопротивление потоку (60 л/мин) менее 1,5см Н2О, канистра 5л (масса не менее 4,25кг), </w:t>
            </w:r>
            <w:proofErr w:type="spellStart"/>
            <w:r w:rsidRPr="004B160B">
              <w:rPr>
                <w:rFonts w:ascii="Times New Roman" w:hAnsi="Times New Roman" w:cs="Times New Roman"/>
                <w:color w:val="000000"/>
              </w:rPr>
              <w:t>цветоиндикация</w:t>
            </w:r>
            <w:proofErr w:type="spellEnd"/>
            <w:r w:rsidRPr="004B160B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proofErr w:type="gramStart"/>
            <w:r w:rsidRPr="004B160B">
              <w:rPr>
                <w:rFonts w:ascii="Times New Roman" w:hAnsi="Times New Roman" w:cs="Times New Roman"/>
                <w:color w:val="000000"/>
              </w:rPr>
              <w:t>белый-</w:t>
            </w:r>
            <w:r w:rsidRPr="004B160B">
              <w:rPr>
                <w:rFonts w:ascii="Times New Roman" w:hAnsi="Times New Roman" w:cs="Times New Roman"/>
                <w:color w:val="000000"/>
              </w:rPr>
              <w:lastRenderedPageBreak/>
              <w:t>фиолетовый</w:t>
            </w:r>
            <w:proofErr w:type="spellEnd"/>
            <w:proofErr w:type="gramEnd"/>
            <w:r w:rsidRPr="004B160B">
              <w:rPr>
                <w:rFonts w:ascii="Times New Roman" w:hAnsi="Times New Roman" w:cs="Times New Roman"/>
                <w:color w:val="000000"/>
              </w:rPr>
              <w:t>. Состав: гидроокись кальция – 93,5%, гидроокись натрия – 1,5%, цеолит – 5%, индикатор – 0,03%,  относительная влажность не менее 15,9%. Упаковка: клинически чистая, 2шт. Срок годности (срок гарантии) не менее 5 лет от даты изготовления.</w:t>
            </w:r>
          </w:p>
        </w:tc>
        <w:tc>
          <w:tcPr>
            <w:tcW w:w="1276" w:type="dxa"/>
            <w:shd w:val="clear" w:color="auto" w:fill="auto"/>
          </w:tcPr>
          <w:p w:rsidR="00726485" w:rsidRPr="004B160B" w:rsidRDefault="00726485" w:rsidP="004B160B">
            <w:pPr>
              <w:rPr>
                <w:rFonts w:ascii="Times New Roman" w:hAnsi="Times New Roman" w:cs="Times New Roman"/>
                <w:color w:val="000000"/>
              </w:rPr>
            </w:pPr>
            <w:r w:rsidRPr="004B160B">
              <w:rPr>
                <w:rFonts w:ascii="Times New Roman" w:hAnsi="Times New Roman" w:cs="Times New Roman"/>
                <w:color w:val="000000"/>
              </w:rPr>
              <w:lastRenderedPageBreak/>
              <w:t>канистра</w:t>
            </w:r>
          </w:p>
        </w:tc>
        <w:tc>
          <w:tcPr>
            <w:tcW w:w="992" w:type="dxa"/>
            <w:shd w:val="clear" w:color="auto" w:fill="auto"/>
          </w:tcPr>
          <w:p w:rsidR="00726485" w:rsidRPr="004B160B" w:rsidRDefault="00726485" w:rsidP="004B160B">
            <w:pPr>
              <w:rPr>
                <w:rFonts w:ascii="Times New Roman" w:hAnsi="Times New Roman" w:cs="Times New Roman"/>
                <w:color w:val="000000"/>
              </w:rPr>
            </w:pPr>
            <w:r w:rsidRPr="004B160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26485" w:rsidRPr="004B160B" w:rsidRDefault="00687BBE" w:rsidP="004B160B">
            <w:pPr>
              <w:rPr>
                <w:rFonts w:ascii="Times New Roman" w:hAnsi="Times New Roman" w:cs="Times New Roman"/>
              </w:rPr>
            </w:pPr>
            <w:r w:rsidRPr="004B160B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1560" w:type="dxa"/>
            <w:shd w:val="clear" w:color="auto" w:fill="auto"/>
          </w:tcPr>
          <w:p w:rsidR="00726485" w:rsidRPr="004B160B" w:rsidRDefault="00687BBE" w:rsidP="004B160B">
            <w:pPr>
              <w:rPr>
                <w:rFonts w:ascii="Times New Roman" w:hAnsi="Times New Roman" w:cs="Times New Roman"/>
                <w:color w:val="000000"/>
              </w:rPr>
            </w:pPr>
            <w:r w:rsidRPr="004B160B">
              <w:rPr>
                <w:rFonts w:ascii="Times New Roman" w:hAnsi="Times New Roman" w:cs="Times New Roman"/>
                <w:color w:val="000000"/>
              </w:rPr>
              <w:t>180000,0</w:t>
            </w:r>
          </w:p>
        </w:tc>
      </w:tr>
      <w:tr w:rsidR="00726485" w:rsidRPr="004B160B" w:rsidTr="00D07647">
        <w:tc>
          <w:tcPr>
            <w:tcW w:w="457" w:type="dxa"/>
          </w:tcPr>
          <w:p w:rsidR="00726485" w:rsidRPr="004B160B" w:rsidRDefault="00705E32" w:rsidP="00151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65" w:type="dxa"/>
            <w:shd w:val="clear" w:color="auto" w:fill="auto"/>
          </w:tcPr>
          <w:p w:rsidR="00726485" w:rsidRPr="004B160B" w:rsidRDefault="00726485" w:rsidP="00D07647">
            <w:pPr>
              <w:rPr>
                <w:rFonts w:ascii="Times New Roman" w:eastAsia="Times New Roman" w:hAnsi="Times New Roman" w:cs="Times New Roman"/>
              </w:rPr>
            </w:pPr>
            <w:r w:rsidRPr="004B160B">
              <w:rPr>
                <w:rFonts w:ascii="Times New Roman" w:eastAsia="Times New Roman" w:hAnsi="Times New Roman" w:cs="Times New Roman"/>
              </w:rPr>
              <w:t xml:space="preserve">Набор </w:t>
            </w:r>
            <w:proofErr w:type="spellStart"/>
            <w:r w:rsidRPr="004B160B">
              <w:rPr>
                <w:rFonts w:ascii="Times New Roman" w:eastAsia="Times New Roman" w:hAnsi="Times New Roman" w:cs="Times New Roman"/>
              </w:rPr>
              <w:t>рекактивов</w:t>
            </w:r>
            <w:proofErr w:type="spellEnd"/>
            <w:r w:rsidRPr="004B160B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4B160B">
              <w:rPr>
                <w:rFonts w:ascii="Times New Roman" w:eastAsia="Times New Roman" w:hAnsi="Times New Roman" w:cs="Times New Roman"/>
              </w:rPr>
              <w:t>предстерилизационного</w:t>
            </w:r>
            <w:proofErr w:type="spellEnd"/>
            <w:r w:rsidRPr="004B160B">
              <w:rPr>
                <w:rFonts w:ascii="Times New Roman" w:eastAsia="Times New Roman" w:hAnsi="Times New Roman" w:cs="Times New Roman"/>
              </w:rPr>
              <w:t xml:space="preserve"> контроля с фенолфталеином</w:t>
            </w:r>
          </w:p>
        </w:tc>
        <w:tc>
          <w:tcPr>
            <w:tcW w:w="6067" w:type="dxa"/>
            <w:shd w:val="clear" w:color="auto" w:fill="auto"/>
          </w:tcPr>
          <w:p w:rsidR="00726485" w:rsidRPr="004B160B" w:rsidRDefault="00726485" w:rsidP="004B16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160B">
              <w:rPr>
                <w:rFonts w:ascii="Times New Roman" w:eastAsia="Times New Roman" w:hAnsi="Times New Roman" w:cs="Times New Roman"/>
                <w:color w:val="000000"/>
              </w:rPr>
              <w:t xml:space="preserve">Реактив выявляет наличие гемоглобина, </w:t>
            </w:r>
            <w:proofErr w:type="spellStart"/>
            <w:r w:rsidRPr="004B160B">
              <w:rPr>
                <w:rFonts w:ascii="Times New Roman" w:eastAsia="Times New Roman" w:hAnsi="Times New Roman" w:cs="Times New Roman"/>
                <w:color w:val="000000"/>
              </w:rPr>
              <w:t>пероксидаз</w:t>
            </w:r>
            <w:proofErr w:type="spellEnd"/>
            <w:r w:rsidRPr="004B160B">
              <w:rPr>
                <w:rFonts w:ascii="Times New Roman" w:eastAsia="Times New Roman" w:hAnsi="Times New Roman" w:cs="Times New Roman"/>
                <w:color w:val="000000"/>
              </w:rPr>
              <w:t xml:space="preserve"> растительного происхождения сильных окислителей (хлорамина, хлорной извести, хромовой смеси для обработки посудах, стирального порошка с отбеливателем и др.), а также ржавчины </w:t>
            </w:r>
          </w:p>
        </w:tc>
        <w:tc>
          <w:tcPr>
            <w:tcW w:w="1276" w:type="dxa"/>
            <w:shd w:val="clear" w:color="auto" w:fill="auto"/>
          </w:tcPr>
          <w:p w:rsidR="00726485" w:rsidRPr="004B160B" w:rsidRDefault="00726485" w:rsidP="004B16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B160B">
              <w:rPr>
                <w:rFonts w:ascii="Times New Roman" w:eastAsia="Times New Roman" w:hAnsi="Times New Roman" w:cs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26485" w:rsidRPr="004B160B" w:rsidRDefault="00726485" w:rsidP="004B16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160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726485" w:rsidRPr="004B160B" w:rsidRDefault="004B160B" w:rsidP="004B160B">
            <w:pPr>
              <w:rPr>
                <w:rFonts w:ascii="Times New Roman" w:hAnsi="Times New Roman" w:cs="Times New Roman"/>
              </w:rPr>
            </w:pPr>
            <w:r w:rsidRPr="004B160B">
              <w:rPr>
                <w:rFonts w:ascii="Times New Roman" w:hAnsi="Times New Roman" w:cs="Times New Roman"/>
              </w:rPr>
              <w:t>3740</w:t>
            </w:r>
            <w:r w:rsidR="00D0764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726485" w:rsidRPr="004B160B" w:rsidRDefault="004B160B" w:rsidP="004B160B">
            <w:pPr>
              <w:rPr>
                <w:rFonts w:ascii="Times New Roman" w:hAnsi="Times New Roman" w:cs="Times New Roman"/>
                <w:color w:val="000000"/>
              </w:rPr>
            </w:pPr>
            <w:r w:rsidRPr="004B160B">
              <w:rPr>
                <w:rFonts w:ascii="Times New Roman" w:hAnsi="Times New Roman" w:cs="Times New Roman"/>
                <w:color w:val="000000"/>
              </w:rPr>
              <w:t>56100</w:t>
            </w:r>
            <w:r w:rsidR="00D0764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687BBE" w:rsidRPr="004B160B" w:rsidTr="00D07647">
        <w:tc>
          <w:tcPr>
            <w:tcW w:w="457" w:type="dxa"/>
          </w:tcPr>
          <w:p w:rsidR="00687BBE" w:rsidRPr="004B160B" w:rsidRDefault="00705E32" w:rsidP="00151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5" w:type="dxa"/>
            <w:shd w:val="clear" w:color="auto" w:fill="auto"/>
          </w:tcPr>
          <w:p w:rsidR="00687BBE" w:rsidRPr="004B160B" w:rsidRDefault="00687BBE" w:rsidP="00D07647">
            <w:pPr>
              <w:rPr>
                <w:rFonts w:ascii="Times New Roman" w:hAnsi="Times New Roman" w:cs="Times New Roman"/>
              </w:rPr>
            </w:pPr>
            <w:r w:rsidRPr="004B160B">
              <w:rPr>
                <w:rFonts w:ascii="Times New Roman" w:hAnsi="Times New Roman" w:cs="Times New Roman"/>
              </w:rPr>
              <w:t>Желудочный зонд, размер 22</w:t>
            </w:r>
          </w:p>
        </w:tc>
        <w:tc>
          <w:tcPr>
            <w:tcW w:w="6067" w:type="dxa"/>
            <w:shd w:val="clear" w:color="auto" w:fill="auto"/>
          </w:tcPr>
          <w:p w:rsidR="00687BBE" w:rsidRPr="004B160B" w:rsidRDefault="00687BBE" w:rsidP="004B160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B160B">
              <w:rPr>
                <w:rFonts w:ascii="Times New Roman" w:hAnsi="Times New Roman" w:cs="Times New Roman"/>
                <w:color w:val="000000"/>
              </w:rPr>
              <w:t xml:space="preserve"> Изготовлен из мягкого, прозрачного </w:t>
            </w:r>
            <w:proofErr w:type="spellStart"/>
            <w:r w:rsidRPr="004B160B">
              <w:rPr>
                <w:rFonts w:ascii="Times New Roman" w:hAnsi="Times New Roman" w:cs="Times New Roman"/>
                <w:color w:val="000000"/>
              </w:rPr>
              <w:t>имплантанционно-нетоксичного</w:t>
            </w:r>
            <w:proofErr w:type="spellEnd"/>
            <w:r w:rsidRPr="004B160B">
              <w:rPr>
                <w:rFonts w:ascii="Times New Roman" w:hAnsi="Times New Roman" w:cs="Times New Roman"/>
                <w:color w:val="000000"/>
              </w:rPr>
              <w:t xml:space="preserve"> и термопластичного медицинского поливинилхлорида в виде полой </w:t>
            </w:r>
            <w:proofErr w:type="gramStart"/>
            <w:r w:rsidRPr="004B160B">
              <w:rPr>
                <w:rFonts w:ascii="Times New Roman" w:hAnsi="Times New Roman" w:cs="Times New Roman"/>
                <w:color w:val="000000"/>
              </w:rPr>
              <w:t>трубки</w:t>
            </w:r>
            <w:proofErr w:type="gramEnd"/>
            <w:r w:rsidRPr="004B160B">
              <w:rPr>
                <w:rFonts w:ascii="Times New Roman" w:hAnsi="Times New Roman" w:cs="Times New Roman"/>
                <w:color w:val="000000"/>
              </w:rPr>
              <w:t xml:space="preserve"> дистальный конец которой имеет закругленный, запаянный, мягкий кончик, который минимизирует </w:t>
            </w:r>
            <w:proofErr w:type="spellStart"/>
            <w:r w:rsidRPr="004B160B">
              <w:rPr>
                <w:rFonts w:ascii="Times New Roman" w:hAnsi="Times New Roman" w:cs="Times New Roman"/>
                <w:color w:val="000000"/>
              </w:rPr>
              <w:t>травматичность</w:t>
            </w:r>
            <w:proofErr w:type="spellEnd"/>
            <w:r w:rsidRPr="004B160B">
              <w:rPr>
                <w:rFonts w:ascii="Times New Roman" w:hAnsi="Times New Roman" w:cs="Times New Roman"/>
                <w:color w:val="000000"/>
              </w:rPr>
              <w:t xml:space="preserve"> при постановке, другой конец заканчивается универсальным катетером (портом), цвет которого классифицируется по размеру зонда. По всей длине зонда желудочного одноразового имеется </w:t>
            </w:r>
            <w:proofErr w:type="spellStart"/>
            <w:r w:rsidRPr="004B160B">
              <w:rPr>
                <w:rFonts w:ascii="Times New Roman" w:hAnsi="Times New Roman" w:cs="Times New Roman"/>
                <w:color w:val="000000"/>
              </w:rPr>
              <w:t>рентгеноконтрастная</w:t>
            </w:r>
            <w:proofErr w:type="spellEnd"/>
            <w:r w:rsidRPr="004B160B">
              <w:rPr>
                <w:rFonts w:ascii="Times New Roman" w:hAnsi="Times New Roman" w:cs="Times New Roman"/>
                <w:color w:val="000000"/>
              </w:rPr>
              <w:t xml:space="preserve"> полоса и метки расположенные от дистального конца (1-ая метка - 40 см, остальные с шагом 5 см. - до 75 см.) Зонд желудочный имеет четыре боковых отверстия, расположенные у дистального ко окончания с разных сторон, которые снижают риск </w:t>
            </w:r>
            <w:proofErr w:type="spellStart"/>
            <w:r w:rsidRPr="004B160B">
              <w:rPr>
                <w:rFonts w:ascii="Times New Roman" w:hAnsi="Times New Roman" w:cs="Times New Roman"/>
                <w:color w:val="000000"/>
              </w:rPr>
              <w:t>обтурации</w:t>
            </w:r>
            <w:proofErr w:type="spellEnd"/>
            <w:r w:rsidRPr="004B160B">
              <w:rPr>
                <w:rFonts w:ascii="Times New Roman" w:hAnsi="Times New Roman" w:cs="Times New Roman"/>
                <w:color w:val="000000"/>
              </w:rPr>
              <w:t xml:space="preserve"> зонда и обеспечивают его хорошую </w:t>
            </w:r>
            <w:proofErr w:type="spellStart"/>
            <w:r w:rsidRPr="004B160B">
              <w:rPr>
                <w:rFonts w:ascii="Times New Roman" w:hAnsi="Times New Roman" w:cs="Times New Roman"/>
                <w:color w:val="000000"/>
              </w:rPr>
              <w:t>проходимость</w:t>
            </w:r>
            <w:proofErr w:type="gramStart"/>
            <w:r w:rsidRPr="004B160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4B160B">
              <w:rPr>
                <w:rFonts w:ascii="Times New Roman" w:hAnsi="Times New Roman" w:cs="Times New Roman"/>
                <w:color w:val="000000"/>
              </w:rPr>
              <w:t>азмер</w:t>
            </w:r>
            <w:proofErr w:type="spellEnd"/>
            <w:r w:rsidRPr="004B160B">
              <w:rPr>
                <w:rFonts w:ascii="Times New Roman" w:hAnsi="Times New Roman" w:cs="Times New Roman"/>
                <w:color w:val="000000"/>
              </w:rPr>
              <w:t xml:space="preserve"> зонда: 22</w:t>
            </w:r>
          </w:p>
        </w:tc>
        <w:tc>
          <w:tcPr>
            <w:tcW w:w="1276" w:type="dxa"/>
            <w:shd w:val="clear" w:color="auto" w:fill="auto"/>
          </w:tcPr>
          <w:p w:rsidR="00687BBE" w:rsidRPr="004B160B" w:rsidRDefault="00687BBE" w:rsidP="004B160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B160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687BBE" w:rsidRPr="004B160B" w:rsidRDefault="00687BBE" w:rsidP="004B160B">
            <w:pPr>
              <w:rPr>
                <w:rFonts w:ascii="Times New Roman" w:hAnsi="Times New Roman" w:cs="Times New Roman"/>
                <w:color w:val="000000"/>
              </w:rPr>
            </w:pPr>
            <w:r w:rsidRPr="004B160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687BBE" w:rsidRPr="004B160B" w:rsidRDefault="00687BBE" w:rsidP="004B160B">
            <w:pPr>
              <w:rPr>
                <w:rFonts w:ascii="Times New Roman" w:hAnsi="Times New Roman" w:cs="Times New Roman"/>
                <w:color w:val="000000"/>
              </w:rPr>
            </w:pPr>
            <w:r w:rsidRPr="004B160B">
              <w:rPr>
                <w:rFonts w:ascii="Times New Roman" w:hAnsi="Times New Roman" w:cs="Times New Roman"/>
                <w:color w:val="000000"/>
              </w:rPr>
              <w:t>500</w:t>
            </w:r>
            <w:r w:rsidR="00D0764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687BBE" w:rsidRPr="004B160B" w:rsidRDefault="004B160B" w:rsidP="004B160B">
            <w:pPr>
              <w:rPr>
                <w:rFonts w:ascii="Times New Roman" w:hAnsi="Times New Roman" w:cs="Times New Roman"/>
                <w:color w:val="000000"/>
              </w:rPr>
            </w:pPr>
            <w:r w:rsidRPr="004B160B">
              <w:rPr>
                <w:rFonts w:ascii="Times New Roman" w:hAnsi="Times New Roman" w:cs="Times New Roman"/>
                <w:color w:val="000000"/>
              </w:rPr>
              <w:t>5000</w:t>
            </w:r>
            <w:r w:rsidR="00D0764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687BBE" w:rsidRPr="004B160B" w:rsidTr="004B160B">
        <w:tc>
          <w:tcPr>
            <w:tcW w:w="457" w:type="dxa"/>
          </w:tcPr>
          <w:p w:rsidR="00687BBE" w:rsidRPr="004B160B" w:rsidRDefault="00705E32" w:rsidP="00151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5" w:type="dxa"/>
            <w:shd w:val="clear" w:color="auto" w:fill="auto"/>
          </w:tcPr>
          <w:p w:rsidR="00687BBE" w:rsidRPr="004B160B" w:rsidRDefault="00687BBE" w:rsidP="005017EA">
            <w:pPr>
              <w:rPr>
                <w:rFonts w:ascii="Times New Roman" w:hAnsi="Times New Roman" w:cs="Times New Roman"/>
              </w:rPr>
            </w:pPr>
            <w:r w:rsidRPr="004B160B">
              <w:rPr>
                <w:rFonts w:ascii="Times New Roman" w:hAnsi="Times New Roman" w:cs="Times New Roman"/>
              </w:rPr>
              <w:t>Желудочный зонд, размер 20</w:t>
            </w:r>
          </w:p>
        </w:tc>
        <w:tc>
          <w:tcPr>
            <w:tcW w:w="6067" w:type="dxa"/>
            <w:shd w:val="clear" w:color="auto" w:fill="auto"/>
          </w:tcPr>
          <w:p w:rsidR="00687BBE" w:rsidRPr="004B160B" w:rsidRDefault="00687BBE" w:rsidP="004B160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B160B">
              <w:rPr>
                <w:rFonts w:ascii="Times New Roman" w:hAnsi="Times New Roman" w:cs="Times New Roman"/>
                <w:color w:val="000000"/>
              </w:rPr>
              <w:t xml:space="preserve"> Изготовлен из мягкого, прозрачного </w:t>
            </w:r>
            <w:proofErr w:type="spellStart"/>
            <w:r w:rsidRPr="004B160B">
              <w:rPr>
                <w:rFonts w:ascii="Times New Roman" w:hAnsi="Times New Roman" w:cs="Times New Roman"/>
                <w:color w:val="000000"/>
              </w:rPr>
              <w:t>имплантанционно-нетоксичного</w:t>
            </w:r>
            <w:proofErr w:type="spellEnd"/>
            <w:r w:rsidRPr="004B160B">
              <w:rPr>
                <w:rFonts w:ascii="Times New Roman" w:hAnsi="Times New Roman" w:cs="Times New Roman"/>
                <w:color w:val="000000"/>
              </w:rPr>
              <w:t xml:space="preserve"> и термопластичного медицинского поливинилхлорида в виде полой </w:t>
            </w:r>
            <w:proofErr w:type="gramStart"/>
            <w:r w:rsidRPr="004B160B">
              <w:rPr>
                <w:rFonts w:ascii="Times New Roman" w:hAnsi="Times New Roman" w:cs="Times New Roman"/>
                <w:color w:val="000000"/>
              </w:rPr>
              <w:t>трубки</w:t>
            </w:r>
            <w:proofErr w:type="gramEnd"/>
            <w:r w:rsidRPr="004B160B">
              <w:rPr>
                <w:rFonts w:ascii="Times New Roman" w:hAnsi="Times New Roman" w:cs="Times New Roman"/>
                <w:color w:val="000000"/>
              </w:rPr>
              <w:t xml:space="preserve"> дистальный конец которой имеет закругленный, запаянный, мягкий кончик, который минимизирует </w:t>
            </w:r>
            <w:proofErr w:type="spellStart"/>
            <w:r w:rsidRPr="004B160B">
              <w:rPr>
                <w:rFonts w:ascii="Times New Roman" w:hAnsi="Times New Roman" w:cs="Times New Roman"/>
                <w:color w:val="000000"/>
              </w:rPr>
              <w:t>травматичность</w:t>
            </w:r>
            <w:proofErr w:type="spellEnd"/>
            <w:r w:rsidRPr="004B160B">
              <w:rPr>
                <w:rFonts w:ascii="Times New Roman" w:hAnsi="Times New Roman" w:cs="Times New Roman"/>
                <w:color w:val="000000"/>
              </w:rPr>
              <w:t xml:space="preserve"> при постановке, другой конец заканчивается универсальным катетером (портом), цвет которого классифицируется по размеру зонда. По всей длине зонда желудочного одноразового имеется </w:t>
            </w:r>
            <w:proofErr w:type="spellStart"/>
            <w:r w:rsidRPr="004B160B">
              <w:rPr>
                <w:rFonts w:ascii="Times New Roman" w:hAnsi="Times New Roman" w:cs="Times New Roman"/>
                <w:color w:val="000000"/>
              </w:rPr>
              <w:t>рентгеноконтрастная</w:t>
            </w:r>
            <w:proofErr w:type="spellEnd"/>
            <w:r w:rsidRPr="004B160B">
              <w:rPr>
                <w:rFonts w:ascii="Times New Roman" w:hAnsi="Times New Roman" w:cs="Times New Roman"/>
                <w:color w:val="000000"/>
              </w:rPr>
              <w:t xml:space="preserve"> полоса и метки расположенные от дистального конца (1-ая метка - 40 см, остальные с шагом 5 см. - до 75 см.) Зонд желудочный имеет четыре боковых отверстия, расположенные у дистального </w:t>
            </w:r>
            <w:proofErr w:type="gramStart"/>
            <w:r w:rsidRPr="004B160B">
              <w:rPr>
                <w:rFonts w:ascii="Times New Roman" w:hAnsi="Times New Roman" w:cs="Times New Roman"/>
                <w:color w:val="000000"/>
              </w:rPr>
              <w:t>ко</w:t>
            </w:r>
            <w:proofErr w:type="gramEnd"/>
            <w:r w:rsidRPr="004B160B">
              <w:rPr>
                <w:rFonts w:ascii="Times New Roman" w:hAnsi="Times New Roman" w:cs="Times New Roman"/>
                <w:color w:val="000000"/>
              </w:rPr>
              <w:t xml:space="preserve"> окончания с разных сторон, которые снижают риск </w:t>
            </w:r>
            <w:proofErr w:type="spellStart"/>
            <w:r w:rsidRPr="004B160B">
              <w:rPr>
                <w:rFonts w:ascii="Times New Roman" w:hAnsi="Times New Roman" w:cs="Times New Roman"/>
                <w:color w:val="000000"/>
              </w:rPr>
              <w:t>обтурации</w:t>
            </w:r>
            <w:proofErr w:type="spellEnd"/>
            <w:r w:rsidRPr="004B160B">
              <w:rPr>
                <w:rFonts w:ascii="Times New Roman" w:hAnsi="Times New Roman" w:cs="Times New Roman"/>
                <w:color w:val="000000"/>
              </w:rPr>
              <w:t xml:space="preserve"> зонда и обеспечивают его хорошую проходимость.</w:t>
            </w:r>
            <w:r w:rsidR="004B160B" w:rsidRPr="004B16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160B">
              <w:rPr>
                <w:rFonts w:ascii="Times New Roman" w:hAnsi="Times New Roman" w:cs="Times New Roman"/>
                <w:color w:val="000000"/>
              </w:rPr>
              <w:t>Размер зонда: 20</w:t>
            </w:r>
          </w:p>
        </w:tc>
        <w:tc>
          <w:tcPr>
            <w:tcW w:w="1276" w:type="dxa"/>
            <w:shd w:val="clear" w:color="auto" w:fill="auto"/>
          </w:tcPr>
          <w:p w:rsidR="00687BBE" w:rsidRPr="004B160B" w:rsidRDefault="00687BBE" w:rsidP="004B160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B160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687BBE" w:rsidRPr="004B160B" w:rsidRDefault="00687BBE" w:rsidP="004B160B">
            <w:pPr>
              <w:rPr>
                <w:rFonts w:ascii="Times New Roman" w:hAnsi="Times New Roman" w:cs="Times New Roman"/>
                <w:color w:val="000000"/>
              </w:rPr>
            </w:pPr>
            <w:r w:rsidRPr="004B160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687BBE" w:rsidRPr="004B160B" w:rsidRDefault="00687BBE" w:rsidP="004B160B">
            <w:pPr>
              <w:rPr>
                <w:rFonts w:ascii="Times New Roman" w:hAnsi="Times New Roman" w:cs="Times New Roman"/>
                <w:color w:val="000000"/>
              </w:rPr>
            </w:pPr>
            <w:r w:rsidRPr="004B160B">
              <w:rPr>
                <w:rFonts w:ascii="Times New Roman" w:hAnsi="Times New Roman" w:cs="Times New Roman"/>
                <w:color w:val="000000"/>
              </w:rPr>
              <w:t>500</w:t>
            </w:r>
            <w:r w:rsidR="00D0764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687BBE" w:rsidRPr="004B160B" w:rsidRDefault="004B160B" w:rsidP="004B160B">
            <w:pPr>
              <w:rPr>
                <w:rFonts w:ascii="Times New Roman" w:hAnsi="Times New Roman" w:cs="Times New Roman"/>
                <w:color w:val="000000"/>
              </w:rPr>
            </w:pPr>
            <w:r w:rsidRPr="004B160B">
              <w:rPr>
                <w:rFonts w:ascii="Times New Roman" w:hAnsi="Times New Roman" w:cs="Times New Roman"/>
                <w:color w:val="000000"/>
              </w:rPr>
              <w:t>5000</w:t>
            </w:r>
            <w:r w:rsidR="00D0764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726485" w:rsidRPr="004B160B" w:rsidTr="004B160B">
        <w:tc>
          <w:tcPr>
            <w:tcW w:w="457" w:type="dxa"/>
          </w:tcPr>
          <w:p w:rsidR="00726485" w:rsidRPr="004B160B" w:rsidRDefault="00726485" w:rsidP="00151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shd w:val="clear" w:color="auto" w:fill="FFFF00"/>
          </w:tcPr>
          <w:p w:rsidR="00726485" w:rsidRPr="004B160B" w:rsidRDefault="00DA2630" w:rsidP="006C52DA">
            <w:pPr>
              <w:rPr>
                <w:rFonts w:ascii="Times New Roman" w:hAnsi="Times New Roman" w:cs="Times New Roman"/>
              </w:rPr>
            </w:pPr>
            <w:r w:rsidRPr="004B160B">
              <w:rPr>
                <w:rFonts w:ascii="Times New Roman" w:hAnsi="Times New Roman" w:cs="Times New Roman"/>
              </w:rPr>
              <w:t>Лекарственные средства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726485" w:rsidRPr="004B160B" w:rsidRDefault="00726485" w:rsidP="004B16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26485" w:rsidRPr="004B160B" w:rsidRDefault="00726485" w:rsidP="004B1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26485" w:rsidRPr="004B160B" w:rsidRDefault="00726485" w:rsidP="004B1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26485" w:rsidRPr="004B160B" w:rsidRDefault="00726485" w:rsidP="004B1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726485" w:rsidRPr="004B160B" w:rsidRDefault="00726485" w:rsidP="004B160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485" w:rsidRPr="004B160B" w:rsidTr="004B160B">
        <w:tc>
          <w:tcPr>
            <w:tcW w:w="457" w:type="dxa"/>
          </w:tcPr>
          <w:p w:rsidR="00726485" w:rsidRPr="004B160B" w:rsidRDefault="00705E32" w:rsidP="00151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5" w:type="dxa"/>
            <w:shd w:val="clear" w:color="auto" w:fill="auto"/>
          </w:tcPr>
          <w:p w:rsidR="00726485" w:rsidRPr="004B160B" w:rsidRDefault="00726485" w:rsidP="00F4081D">
            <w:pPr>
              <w:rPr>
                <w:rFonts w:ascii="Times New Roman" w:hAnsi="Times New Roman" w:cs="Times New Roman"/>
              </w:rPr>
            </w:pPr>
            <w:proofErr w:type="spellStart"/>
            <w:r w:rsidRPr="004B160B">
              <w:rPr>
                <w:rFonts w:ascii="Times New Roman" w:hAnsi="Times New Roman" w:cs="Times New Roman"/>
              </w:rPr>
              <w:t>Дигоксин</w:t>
            </w:r>
            <w:proofErr w:type="spellEnd"/>
            <w:r w:rsidRPr="004B160B">
              <w:rPr>
                <w:rFonts w:ascii="Times New Roman" w:hAnsi="Times New Roman" w:cs="Times New Roman"/>
              </w:rPr>
              <w:t xml:space="preserve"> 0,25% 1мл №10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726485" w:rsidRPr="004B160B" w:rsidRDefault="00726485" w:rsidP="004B16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160B">
              <w:rPr>
                <w:rFonts w:ascii="Times New Roman" w:hAnsi="Times New Roman" w:cs="Times New Roman"/>
              </w:rPr>
              <w:t>Дигоксин</w:t>
            </w:r>
            <w:proofErr w:type="spellEnd"/>
            <w:r w:rsidRPr="004B160B">
              <w:rPr>
                <w:rFonts w:ascii="Times New Roman" w:hAnsi="Times New Roman" w:cs="Times New Roman"/>
              </w:rPr>
              <w:t xml:space="preserve"> 0,25% - 1мл  раствор для инъекции. Стерильный </w:t>
            </w:r>
          </w:p>
        </w:tc>
        <w:tc>
          <w:tcPr>
            <w:tcW w:w="1276" w:type="dxa"/>
            <w:shd w:val="clear" w:color="auto" w:fill="auto"/>
          </w:tcPr>
          <w:p w:rsidR="00726485" w:rsidRPr="004B160B" w:rsidRDefault="00726485" w:rsidP="004B160B">
            <w:pPr>
              <w:rPr>
                <w:rFonts w:ascii="Times New Roman" w:hAnsi="Times New Roman" w:cs="Times New Roman"/>
              </w:rPr>
            </w:pPr>
            <w:proofErr w:type="spellStart"/>
            <w:r w:rsidRPr="004B160B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26485" w:rsidRPr="004B160B" w:rsidRDefault="00726485" w:rsidP="004B160B">
            <w:pPr>
              <w:rPr>
                <w:rFonts w:ascii="Times New Roman" w:hAnsi="Times New Roman" w:cs="Times New Roman"/>
              </w:rPr>
            </w:pPr>
            <w:r w:rsidRPr="004B160B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275" w:type="dxa"/>
            <w:shd w:val="clear" w:color="auto" w:fill="auto"/>
          </w:tcPr>
          <w:p w:rsidR="00726485" w:rsidRPr="004B160B" w:rsidRDefault="00726485" w:rsidP="004B160B">
            <w:pPr>
              <w:rPr>
                <w:rFonts w:ascii="Times New Roman" w:hAnsi="Times New Roman" w:cs="Times New Roman"/>
              </w:rPr>
            </w:pPr>
            <w:r w:rsidRPr="004B160B">
              <w:rPr>
                <w:rFonts w:ascii="Times New Roman" w:hAnsi="Times New Roman" w:cs="Times New Roman"/>
              </w:rPr>
              <w:t>244</w:t>
            </w:r>
            <w:r w:rsidR="00D0764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726485" w:rsidRPr="004B160B" w:rsidRDefault="004B160B" w:rsidP="004B160B">
            <w:pPr>
              <w:rPr>
                <w:rFonts w:ascii="Times New Roman" w:hAnsi="Times New Roman" w:cs="Times New Roman"/>
                <w:color w:val="000000"/>
              </w:rPr>
            </w:pPr>
            <w:r w:rsidRPr="004B160B">
              <w:rPr>
                <w:rFonts w:ascii="Times New Roman" w:hAnsi="Times New Roman" w:cs="Times New Roman"/>
                <w:color w:val="000000"/>
              </w:rPr>
              <w:t>56852</w:t>
            </w:r>
            <w:r w:rsidR="00D0764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891059" w:rsidRPr="004B160B" w:rsidTr="000F24C3">
        <w:tc>
          <w:tcPr>
            <w:tcW w:w="457" w:type="dxa"/>
          </w:tcPr>
          <w:p w:rsidR="00891059" w:rsidRPr="004B160B" w:rsidRDefault="00891059" w:rsidP="00CB4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</w:tcPr>
          <w:p w:rsidR="00891059" w:rsidRPr="004B160B" w:rsidRDefault="00774A41" w:rsidP="00CB4D63">
            <w:pPr>
              <w:rPr>
                <w:rFonts w:ascii="Times New Roman" w:hAnsi="Times New Roman" w:cs="Times New Roman"/>
              </w:rPr>
            </w:pPr>
            <w:r w:rsidRPr="004B160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067" w:type="dxa"/>
          </w:tcPr>
          <w:p w:rsidR="00891059" w:rsidRPr="004B160B" w:rsidRDefault="00891059" w:rsidP="00CB4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059" w:rsidRPr="004B160B" w:rsidRDefault="00891059" w:rsidP="00CB4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1059" w:rsidRPr="004B160B" w:rsidRDefault="00891059" w:rsidP="00CB4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1059" w:rsidRPr="004B160B" w:rsidRDefault="00891059" w:rsidP="00CB4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1059" w:rsidRPr="004B160B" w:rsidRDefault="00705E32" w:rsidP="00CB4D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302952</w:t>
            </w:r>
            <w:r w:rsidR="00AB4625">
              <w:rPr>
                <w:rFonts w:ascii="Times New Roman" w:hAnsi="Times New Roman" w:cs="Times New Roman"/>
                <w:color w:val="000000"/>
              </w:rPr>
              <w:t xml:space="preserve">,0 </w:t>
            </w:r>
            <w:proofErr w:type="spellStart"/>
            <w:r w:rsidR="00A92FDA" w:rsidRPr="004B160B">
              <w:rPr>
                <w:rFonts w:ascii="Times New Roman" w:hAnsi="Times New Roman" w:cs="Times New Roman"/>
                <w:color w:val="000000"/>
              </w:rPr>
              <w:t>тг</w:t>
            </w:r>
            <w:proofErr w:type="spellEnd"/>
          </w:p>
        </w:tc>
      </w:tr>
    </w:tbl>
    <w:p w:rsidR="00891059" w:rsidRPr="004B160B" w:rsidRDefault="00891059" w:rsidP="00CB4D63">
      <w:pPr>
        <w:pStyle w:val="pj"/>
        <w:ind w:firstLine="0"/>
        <w:jc w:val="left"/>
        <w:rPr>
          <w:color w:val="auto"/>
          <w:sz w:val="22"/>
          <w:szCs w:val="22"/>
        </w:rPr>
      </w:pPr>
    </w:p>
    <w:p w:rsidR="00891059" w:rsidRDefault="00891059" w:rsidP="00891059">
      <w:pPr>
        <w:pStyle w:val="pj"/>
      </w:pPr>
      <w:r w:rsidRPr="009B5F01">
        <w:rPr>
          <w:b/>
          <w:color w:val="auto"/>
        </w:rPr>
        <w:t xml:space="preserve">Сроки и условия поставки: </w:t>
      </w:r>
      <w:r w:rsidRPr="009B5F01">
        <w:rPr>
          <w:color w:val="auto"/>
        </w:rPr>
        <w:t xml:space="preserve"> по заявке Заказчика</w:t>
      </w:r>
      <w:r w:rsidR="00CD4D50">
        <w:rPr>
          <w:color w:val="auto"/>
        </w:rPr>
        <w:t xml:space="preserve"> </w:t>
      </w:r>
      <w:r w:rsidRPr="009B5F01">
        <w:rPr>
          <w:rFonts w:eastAsia="Times New Roman"/>
          <w:color w:val="auto"/>
        </w:rPr>
        <w:t>в течение 15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r w:rsidRPr="006F5846">
        <w:rPr>
          <w:color w:val="auto"/>
          <w:shd w:val="clear" w:color="auto" w:fill="FFFFFF"/>
        </w:rPr>
        <w:t>Жетісу</w:t>
      </w:r>
      <w:proofErr w:type="spellEnd"/>
      <w:r w:rsidRPr="006F5846">
        <w:rPr>
          <w:color w:val="auto"/>
        </w:rPr>
        <w:t xml:space="preserve">,                        г. </w:t>
      </w:r>
      <w:proofErr w:type="spellStart"/>
      <w:r w:rsidRPr="006F5846">
        <w:rPr>
          <w:color w:val="auto"/>
        </w:rPr>
        <w:t>Талдыкорган</w:t>
      </w:r>
      <w:proofErr w:type="spellEnd"/>
      <w:r w:rsidRPr="006F5846">
        <w:rPr>
          <w:color w:val="auto"/>
        </w:rPr>
        <w:t xml:space="preserve">, ул. </w:t>
      </w:r>
      <w:proofErr w:type="spellStart"/>
      <w:r w:rsidRPr="006F5846">
        <w:rPr>
          <w:color w:val="auto"/>
        </w:rPr>
        <w:t>Ескельды</w:t>
      </w:r>
      <w:proofErr w:type="spellEnd"/>
      <w:r w:rsidRPr="006F5846">
        <w:rPr>
          <w:color w:val="auto"/>
        </w:rPr>
        <w:t xml:space="preserve"> </w:t>
      </w:r>
      <w:proofErr w:type="spellStart"/>
      <w:r w:rsidRPr="006F5846">
        <w:rPr>
          <w:color w:val="auto"/>
        </w:rPr>
        <w:t>би</w:t>
      </w:r>
      <w:proofErr w:type="spellEnd"/>
      <w:r w:rsidRPr="006F5846">
        <w:rPr>
          <w:color w:val="auto"/>
        </w:rPr>
        <w:t xml:space="preserve">, 224, </w:t>
      </w:r>
      <w:r w:rsidRPr="006F5846">
        <w:rPr>
          <w:bCs/>
          <w:color w:val="auto"/>
        </w:rPr>
        <w:t xml:space="preserve">кабинет №102. </w:t>
      </w:r>
      <w:r w:rsidRPr="006F5846">
        <w:rPr>
          <w:color w:val="auto"/>
        </w:rPr>
        <w:t xml:space="preserve">Окончательный срок подачи ценовых предложений: до 9 часов 30 минут  </w:t>
      </w:r>
      <w:bookmarkStart w:id="0" w:name="_Hlk83801019"/>
      <w:r w:rsidRPr="006F5846">
        <w:rPr>
          <w:color w:val="auto"/>
        </w:rPr>
        <w:t>«</w:t>
      </w:r>
      <w:r w:rsidR="00D07647">
        <w:rPr>
          <w:color w:val="auto"/>
        </w:rPr>
        <w:t>26</w:t>
      </w:r>
      <w:r w:rsidRPr="006F5846">
        <w:rPr>
          <w:color w:val="auto"/>
        </w:rPr>
        <w:t xml:space="preserve">» </w:t>
      </w:r>
      <w:bookmarkEnd w:id="0"/>
      <w:r w:rsidR="00EC4562">
        <w:rPr>
          <w:color w:val="auto"/>
        </w:rPr>
        <w:t xml:space="preserve">сентября </w:t>
      </w:r>
      <w:r w:rsidR="00C662A9">
        <w:rPr>
          <w:color w:val="auto"/>
        </w:rPr>
        <w:t xml:space="preserve"> </w:t>
      </w:r>
      <w:r w:rsidR="006F5846" w:rsidRPr="006F5846">
        <w:rPr>
          <w:color w:val="auto"/>
        </w:rPr>
        <w:t>2023</w:t>
      </w:r>
      <w:r w:rsidR="00C662A9"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891059" w:rsidRPr="006F5846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Талдыкорган</w:t>
      </w:r>
      <w:proofErr w:type="spellEnd"/>
      <w:r w:rsidRPr="006F5846">
        <w:rPr>
          <w:rFonts w:ascii="Times New Roman" w:hAnsi="Times New Roman" w:cs="Times New Roman"/>
        </w:rPr>
        <w:t xml:space="preserve">, ул. </w:t>
      </w:r>
      <w:proofErr w:type="spellStart"/>
      <w:r w:rsidRPr="006F5846">
        <w:rPr>
          <w:rFonts w:ascii="Times New Roman" w:hAnsi="Times New Roman" w:cs="Times New Roman"/>
        </w:rPr>
        <w:t>Ескельды</w:t>
      </w:r>
      <w:proofErr w:type="spellEnd"/>
      <w:r w:rsidRPr="006F5846">
        <w:rPr>
          <w:rFonts w:ascii="Times New Roman" w:hAnsi="Times New Roman" w:cs="Times New Roman"/>
        </w:rPr>
        <w:t xml:space="preserve"> </w:t>
      </w:r>
      <w:proofErr w:type="spellStart"/>
      <w:r w:rsidRPr="006F5846">
        <w:rPr>
          <w:rFonts w:ascii="Times New Roman" w:hAnsi="Times New Roman" w:cs="Times New Roman"/>
        </w:rPr>
        <w:t>би</w:t>
      </w:r>
      <w:proofErr w:type="spellEnd"/>
      <w:r w:rsidRPr="006F5846">
        <w:rPr>
          <w:rFonts w:ascii="Times New Roman" w:hAnsi="Times New Roman" w:cs="Times New Roman"/>
        </w:rPr>
        <w:t xml:space="preserve">, 224,    в 11 часов </w:t>
      </w:r>
      <w:r w:rsidR="00D07647">
        <w:rPr>
          <w:rFonts w:ascii="Times New Roman" w:hAnsi="Times New Roman" w:cs="Times New Roman"/>
        </w:rPr>
        <w:t xml:space="preserve">00 </w:t>
      </w:r>
      <w:r w:rsidRPr="006F5846">
        <w:rPr>
          <w:rFonts w:ascii="Times New Roman" w:hAnsi="Times New Roman" w:cs="Times New Roman"/>
        </w:rPr>
        <w:t xml:space="preserve">минут </w:t>
      </w:r>
      <w:r w:rsidR="00C62652">
        <w:rPr>
          <w:rFonts w:ascii="Times New Roman" w:hAnsi="Times New Roman" w:cs="Times New Roman"/>
        </w:rPr>
        <w:t>«</w:t>
      </w:r>
      <w:r w:rsidR="00D07647">
        <w:rPr>
          <w:rFonts w:ascii="Times New Roman" w:hAnsi="Times New Roman" w:cs="Times New Roman"/>
        </w:rPr>
        <w:t>26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EC4562">
        <w:rPr>
          <w:rFonts w:ascii="Times New Roman" w:hAnsi="Times New Roman" w:cs="Times New Roman"/>
        </w:rPr>
        <w:t xml:space="preserve">сентября </w:t>
      </w:r>
      <w:r w:rsidR="006F5846" w:rsidRPr="006F5846">
        <w:rPr>
          <w:rFonts w:ascii="Times New Roman" w:hAnsi="Times New Roman" w:cs="Times New Roman"/>
        </w:rPr>
        <w:t xml:space="preserve"> 2023 года</w:t>
      </w:r>
      <w:r w:rsidRPr="006F5846">
        <w:rPr>
          <w:rFonts w:ascii="Times New Roman" w:hAnsi="Times New Roman" w:cs="Times New Roman"/>
        </w:rPr>
        <w:t>.</w:t>
      </w:r>
    </w:p>
    <w:p w:rsidR="00891059" w:rsidRPr="006F5846" w:rsidRDefault="00891059" w:rsidP="00464343">
      <w:pPr>
        <w:pStyle w:val="pj"/>
        <w:ind w:firstLine="0"/>
        <w:rPr>
          <w:color w:val="auto"/>
        </w:rPr>
      </w:pPr>
      <w:bookmarkStart w:id="1" w:name="_GoBack"/>
      <w:bookmarkEnd w:id="1"/>
      <w:r w:rsidRPr="006F5846">
        <w:rPr>
          <w:color w:val="auto"/>
        </w:rPr>
        <w:t xml:space="preserve">  </w:t>
      </w:r>
      <w:bookmarkStart w:id="2" w:name="SUB11"/>
      <w:bookmarkEnd w:id="2"/>
    </w:p>
    <w:p w:rsidR="00CD4D50" w:rsidRPr="00D07647" w:rsidRDefault="00891059" w:rsidP="00D07647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 w:rsidR="00CD4D50"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</w:t>
      </w:r>
      <w:r w:rsidR="00CD4D50" w:rsidRPr="00CD4D50">
        <w:rPr>
          <w:i/>
          <w:color w:val="auto"/>
        </w:rPr>
        <w:t xml:space="preserve"> требованиями</w:t>
      </w:r>
      <w:r w:rsidR="00CD4D50" w:rsidRPr="00CD4D50">
        <w:rPr>
          <w:b/>
          <w:i/>
          <w:color w:val="auto"/>
        </w:rPr>
        <w:t xml:space="preserve"> </w:t>
      </w:r>
      <w:r w:rsidRPr="00CD4D50">
        <w:rPr>
          <w:b/>
          <w:i/>
          <w:color w:val="auto"/>
        </w:rPr>
        <w:t xml:space="preserve"> </w:t>
      </w:r>
      <w:r w:rsidR="00CD4D50" w:rsidRPr="00CD4D50">
        <w:rPr>
          <w:rStyle w:val="s1"/>
          <w:b w:val="0"/>
          <w:i/>
        </w:rPr>
        <w:t>Приказа</w:t>
      </w:r>
      <w:r w:rsidR="00CD4D50">
        <w:rPr>
          <w:rStyle w:val="s1"/>
          <w:b w:val="0"/>
          <w:i/>
        </w:rPr>
        <w:t xml:space="preserve"> </w:t>
      </w:r>
      <w:r w:rsidR="00CD4D50" w:rsidRPr="00CD4D50">
        <w:rPr>
          <w:rStyle w:val="s1"/>
          <w:b w:val="0"/>
          <w:i/>
        </w:rPr>
        <w:t>Министра здравоохранения Республики Каза</w:t>
      </w:r>
      <w:r w:rsidR="00464343">
        <w:rPr>
          <w:rStyle w:val="s1"/>
          <w:b w:val="0"/>
          <w:i/>
        </w:rPr>
        <w:t>хстан от 7 июня 2023 года № 110</w:t>
      </w:r>
      <w:proofErr w:type="gramStart"/>
      <w:r w:rsidR="00464343">
        <w:rPr>
          <w:rStyle w:val="s1"/>
          <w:b w:val="0"/>
          <w:i/>
        </w:rPr>
        <w:t xml:space="preserve"> </w:t>
      </w:r>
      <w:r w:rsidR="00CD4D50" w:rsidRPr="00CD4D50">
        <w:rPr>
          <w:rStyle w:val="s1"/>
          <w:b w:val="0"/>
          <w:i/>
        </w:rPr>
        <w:t>О</w:t>
      </w:r>
      <w:proofErr w:type="gramEnd"/>
      <w:r w:rsidR="00CD4D50" w:rsidRPr="00CD4D50">
        <w:rPr>
          <w:rStyle w:val="s1"/>
          <w:b w:val="0"/>
          <w:i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64343">
        <w:rPr>
          <w:rStyle w:val="s1"/>
          <w:b w:val="0"/>
          <w:i/>
        </w:rPr>
        <w:t>.</w:t>
      </w:r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Pr="00CD4D50" w:rsidRDefault="00891059" w:rsidP="00CD4D5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(7282)39-00-45</w:t>
      </w:r>
    </w:p>
    <w:p w:rsidR="00CD4D50" w:rsidRPr="00B64F7C" w:rsidRDefault="00CD4D50" w:rsidP="00CD4D50">
      <w:pPr>
        <w:pStyle w:val="pr"/>
        <w:jc w:val="both"/>
        <w:rPr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2E5F71" w:rsidRDefault="002E5F71" w:rsidP="005B3D78">
      <w:pPr>
        <w:pStyle w:val="pr"/>
        <w:jc w:val="left"/>
      </w:pP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lastRenderedPageBreak/>
        <w:t>Форма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Способ закупа ____________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CD4D50" w:rsidRPr="00A1671C" w:rsidTr="00D94E08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CD4D50" w:rsidRPr="00A1671C" w:rsidRDefault="00CD4D50" w:rsidP="00CD4D50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p w:rsidR="00891059" w:rsidRDefault="00891059" w:rsidP="00891059"/>
    <w:p w:rsidR="00891059" w:rsidRDefault="00891059" w:rsidP="00891059"/>
    <w:p w:rsidR="00891059" w:rsidRDefault="00891059" w:rsidP="00891059"/>
    <w:p w:rsidR="00891059" w:rsidRDefault="00891059" w:rsidP="00891059">
      <w:pPr>
        <w:ind w:firstLine="708"/>
        <w:rPr>
          <w:rFonts w:ascii="Times New Roman" w:hAnsi="Times New Roman" w:cs="Times New Roman"/>
        </w:rPr>
      </w:pPr>
    </w:p>
    <w:p w:rsidR="00891059" w:rsidRDefault="00891059" w:rsidP="00891059">
      <w:pPr>
        <w:pStyle w:val="pj"/>
      </w:pPr>
    </w:p>
    <w:p w:rsidR="00891059" w:rsidRDefault="00891059" w:rsidP="00891059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22B06F10"/>
    <w:multiLevelType w:val="multilevel"/>
    <w:tmpl w:val="2EF6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059"/>
    <w:rsid w:val="000247BA"/>
    <w:rsid w:val="00077186"/>
    <w:rsid w:val="000D0680"/>
    <w:rsid w:val="000F24C3"/>
    <w:rsid w:val="00151FBF"/>
    <w:rsid w:val="0025671C"/>
    <w:rsid w:val="00262932"/>
    <w:rsid w:val="00274912"/>
    <w:rsid w:val="002B3302"/>
    <w:rsid w:val="002E5F71"/>
    <w:rsid w:val="00312C3F"/>
    <w:rsid w:val="0035770B"/>
    <w:rsid w:val="00367D08"/>
    <w:rsid w:val="003B073D"/>
    <w:rsid w:val="00464343"/>
    <w:rsid w:val="004B160B"/>
    <w:rsid w:val="004B1979"/>
    <w:rsid w:val="004C51C1"/>
    <w:rsid w:val="004C53BB"/>
    <w:rsid w:val="004E30C4"/>
    <w:rsid w:val="00510EBD"/>
    <w:rsid w:val="00515452"/>
    <w:rsid w:val="005370E5"/>
    <w:rsid w:val="005B3D78"/>
    <w:rsid w:val="00677C3C"/>
    <w:rsid w:val="00687BBE"/>
    <w:rsid w:val="006B1C71"/>
    <w:rsid w:val="006B5776"/>
    <w:rsid w:val="006E4313"/>
    <w:rsid w:val="006F5846"/>
    <w:rsid w:val="006F600E"/>
    <w:rsid w:val="00705E32"/>
    <w:rsid w:val="00726485"/>
    <w:rsid w:val="00763703"/>
    <w:rsid w:val="00774A41"/>
    <w:rsid w:val="00780A2D"/>
    <w:rsid w:val="00786A32"/>
    <w:rsid w:val="00792A9C"/>
    <w:rsid w:val="00802840"/>
    <w:rsid w:val="00847EF4"/>
    <w:rsid w:val="00891059"/>
    <w:rsid w:val="008A14B8"/>
    <w:rsid w:val="008D71CC"/>
    <w:rsid w:val="008D7441"/>
    <w:rsid w:val="00931411"/>
    <w:rsid w:val="00980FB9"/>
    <w:rsid w:val="009A4668"/>
    <w:rsid w:val="009B5F01"/>
    <w:rsid w:val="009C5240"/>
    <w:rsid w:val="009D1A09"/>
    <w:rsid w:val="009E05F7"/>
    <w:rsid w:val="00A57092"/>
    <w:rsid w:val="00A611BC"/>
    <w:rsid w:val="00A71C41"/>
    <w:rsid w:val="00A92FDA"/>
    <w:rsid w:val="00AB4625"/>
    <w:rsid w:val="00B34CB1"/>
    <w:rsid w:val="00B9505D"/>
    <w:rsid w:val="00BD01F5"/>
    <w:rsid w:val="00C1516D"/>
    <w:rsid w:val="00C20869"/>
    <w:rsid w:val="00C40604"/>
    <w:rsid w:val="00C62652"/>
    <w:rsid w:val="00C662A9"/>
    <w:rsid w:val="00C907E7"/>
    <w:rsid w:val="00C912FA"/>
    <w:rsid w:val="00CB186D"/>
    <w:rsid w:val="00CB4D63"/>
    <w:rsid w:val="00CD4D50"/>
    <w:rsid w:val="00CE19FE"/>
    <w:rsid w:val="00CE3A3F"/>
    <w:rsid w:val="00D06274"/>
    <w:rsid w:val="00D07647"/>
    <w:rsid w:val="00D21A65"/>
    <w:rsid w:val="00D32AC2"/>
    <w:rsid w:val="00D33E86"/>
    <w:rsid w:val="00DA2630"/>
    <w:rsid w:val="00E17ADD"/>
    <w:rsid w:val="00E3278F"/>
    <w:rsid w:val="00E4626F"/>
    <w:rsid w:val="00E664B6"/>
    <w:rsid w:val="00EC4562"/>
    <w:rsid w:val="00EC5C71"/>
    <w:rsid w:val="00EC6A67"/>
    <w:rsid w:val="00EE2962"/>
    <w:rsid w:val="00EE6CB6"/>
    <w:rsid w:val="00F13347"/>
    <w:rsid w:val="00F67311"/>
    <w:rsid w:val="00F779D9"/>
    <w:rsid w:val="00F827AD"/>
    <w:rsid w:val="00FA665D"/>
    <w:rsid w:val="00FC31D0"/>
    <w:rsid w:val="00FC7C34"/>
    <w:rsid w:val="00FD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styleId="aa">
    <w:name w:val="No Spacing"/>
    <w:link w:val="ab"/>
    <w:uiPriority w:val="1"/>
    <w:qFormat/>
    <w:rsid w:val="00CD4D50"/>
    <w:pPr>
      <w:spacing w:after="0" w:line="240" w:lineRule="auto"/>
    </w:pPr>
  </w:style>
  <w:style w:type="paragraph" w:styleId="ac">
    <w:name w:val="Normal (Web)"/>
    <w:basedOn w:val="a0"/>
    <w:uiPriority w:val="99"/>
    <w:unhideWhenUsed/>
    <w:rsid w:val="00CD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0"/>
    <w:rsid w:val="00CD4D5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0F2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Наталья</cp:lastModifiedBy>
  <cp:revision>43</cp:revision>
  <cp:lastPrinted>2023-08-10T06:45:00Z</cp:lastPrinted>
  <dcterms:created xsi:type="dcterms:W3CDTF">2022-11-30T05:42:00Z</dcterms:created>
  <dcterms:modified xsi:type="dcterms:W3CDTF">2023-09-19T02:14:00Z</dcterms:modified>
</cp:coreProperties>
</file>